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0.png" ContentType="image/png"/>
  <Override PartName="/word/media/image9.png" ContentType="image/png"/>
  <Override PartName="/word/media/image8.png" ContentType="image/png"/>
  <Override PartName="/word/media/image6.png" ContentType="image/png"/>
  <Override PartName="/word/media/image5.png" ContentType="image/png"/>
  <Override PartName="/word/media/image7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Инструкция пользователя</w:t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933190" cy="306641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pageBreakBefore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Комплектация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Стандартная комплектация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Принтер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Инструкция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СD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Валик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Адаптер (тип зависит от региона)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Шнур питания (тип зависит от региона)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Опциональные аксессуары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Кабель USB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Серийный кабель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4445</wp:posOffset>
            </wp:positionH>
            <wp:positionV relativeFrom="paragraph">
              <wp:posOffset>92710</wp:posOffset>
            </wp:positionV>
            <wp:extent cx="2542540" cy="320929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Внешний вид 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Вид спереди 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Крышка, панель управления, кнопка для открытия крышки, передняя крышка, контрольная панель, кнопка FEED, индикатор бумаги, индикатор ошибок, индикатор питания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98425</wp:posOffset>
            </wp:positionH>
            <wp:positionV relativeFrom="paragraph">
              <wp:posOffset>135890</wp:posOffset>
            </wp:positionV>
            <wp:extent cx="3046730" cy="190944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pageBreakBefore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 сзади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Подключение кассового аппарата, интерфейс питания, USB интерфейс, гибкая карта (Серийная, Ethernet  и т.д.)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314065" cy="77089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 изнутри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723390" cy="131381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Индикатор статуса, направляющая бумаги, детектор приема бумаги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 снизу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Крышка двухпозиционного переключателя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633095</wp:posOffset>
            </wp:positionH>
            <wp:positionV relativeFrom="paragraph">
              <wp:posOffset>114300</wp:posOffset>
            </wp:positionV>
            <wp:extent cx="1285875" cy="1152525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Загрузка бумаги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Нажмите кнопку и откройте крышку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Выньте пустой держатель бумаги, если он есть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Вставьте бумагу в нужном направлении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Вытяните немного бумаги и закройте крышку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Оторвите этикетку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137795</wp:posOffset>
            </wp:positionH>
            <wp:positionV relativeFrom="paragraph">
              <wp:posOffset>107950</wp:posOffset>
            </wp:positionV>
            <wp:extent cx="2499360" cy="744855"/>
            <wp:effectExtent l="0" t="0" r="0" b="0"/>
            <wp:wrapSquare wrapText="largest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Термочувствительный слой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2216785" cy="766445"/>
            <wp:effectExtent l="0" t="0" r="0" b="0"/>
            <wp:wrapSquare wrapText="largest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pageBreakBefore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Включение подачи питания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Выключите принтер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Подключите шнур </w:t>
      </w:r>
      <w:r>
        <w:rPr>
          <w:sz w:val="24"/>
          <w:szCs w:val="24"/>
          <w:lang w:val="ru-RU"/>
        </w:rPr>
        <w:t>адаптера</w:t>
      </w:r>
      <w:r>
        <w:rPr>
          <w:sz w:val="24"/>
          <w:szCs w:val="24"/>
          <w:lang w:val="ru-RU"/>
        </w:rPr>
        <w:t xml:space="preserve"> к принтеру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Подключите адаптер к шнуру питания и включите шнур в розетку.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17780</wp:posOffset>
            </wp:positionH>
            <wp:positionV relativeFrom="paragraph">
              <wp:posOffset>80010</wp:posOffset>
            </wp:positionV>
            <wp:extent cx="2668905" cy="2350135"/>
            <wp:effectExtent l="0" t="0" r="0" b="0"/>
            <wp:wrapSquare wrapText="largest"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Переключение DIP 2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>
          <w:cantSplit w:val="false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Функция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умолчанию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Мультибитные символы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Китайский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Английский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2-2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 звуков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Автообрезчик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Перегрузка данными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Полный буфер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Принтер</w:t>
            </w:r>
            <w:r>
              <w:rPr>
                <w:sz w:val="24"/>
                <w:szCs w:val="24"/>
                <w:lang w:val="ru-RU"/>
              </w:rPr>
              <w:t xml:space="preserve"> оффлайн или полный буфер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2-5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Плотность печати</w:t>
            </w:r>
          </w:p>
        </w:tc>
        <w:tc>
          <w:tcPr>
            <w:tcW w:w="385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Обратитесь к таблице 2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2-6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855" w:type="dxa"/>
            <w:gridSpan w:val="2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2-7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855" w:type="dxa"/>
            <w:gridSpan w:val="2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2-8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 знака в линии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</w:tbl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Переключение DIP 1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>
          <w:cantSplit w:val="false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Функция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умолчанию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-1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Автоподача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-2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Вибрация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Xon/xoff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DTR/DSR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Длина данных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бит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бит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четности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Нет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1-5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четности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Четное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Нечетное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Выкл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Скорость передачи данных</w:t>
            </w:r>
          </w:p>
        </w:tc>
        <w:tc>
          <w:tcPr>
            <w:tcW w:w="385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Обратитесь к таблице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855" w:type="dxa"/>
            <w:gridSpan w:val="2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855" w:type="dxa"/>
            <w:gridSpan w:val="2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 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  <w:t>Таблица 1</w:t>
      </w:r>
    </w:p>
    <w:p>
      <w:pPr>
        <w:pStyle w:val="Normal"/>
        <w:rPr>
          <w:lang w:val="ru-RU"/>
        </w:rPr>
      </w:pPr>
      <w:r>
        <w:rPr>
          <w:lang w:val="ru-RU"/>
        </w:rPr>
        <w:t>Выбор скорости передачи данных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>
          <w:cantSplit w:val="false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Скорость передачи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1-6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По умолчанию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2400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lang w:val="ru-RU"/>
              </w:rPr>
              <w:t>9600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4800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9600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19200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38400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57600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415" w:hRule="atLeast"/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115200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Таблица 2 Выбор плотности печати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>
          <w:cantSplit w:val="false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2-5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2-7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Плотность печати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По умолчанию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Вкл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Вкл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Установлено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 легкая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Установлено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2 стандартная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Вкл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Установлено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3 средняя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Вкл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Установлено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4 темная</w:t>
            </w:r>
          </w:p>
        </w:tc>
        <w:tc>
          <w:tcPr>
            <w:tcW w:w="1928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Автообрезчик включение и выключение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>
          <w:cantSplit w:val="false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lang w:val="ru-RU"/>
              </w:rPr>
              <w:t>Переключатель DIP 2</w:t>
            </w:r>
          </w:p>
        </w:tc>
      </w:tr>
      <w:tr>
        <w:trPr>
          <w:cantSplit w:val="false"/>
        </w:trPr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SW2-3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вкл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Автообрезчик выключен</w:t>
            </w:r>
          </w:p>
        </w:tc>
      </w:tr>
      <w:tr>
        <w:trPr>
          <w:cantSplit w:val="false"/>
        </w:trPr>
        <w:tc>
          <w:tcPr>
            <w:tcW w:w="3212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выкл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Автообрезчик включен</w:t>
            </w:r>
          </w:p>
        </w:tc>
      </w:tr>
      <w:tr>
        <w:trPr>
          <w:cantSplit w:val="false"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Приложение </w:t>
            </w:r>
          </w:p>
        </w:tc>
        <w:tc>
          <w:tcPr>
            <w:tcW w:w="6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Игнорируйте автообрезчик при долгой печати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Другие интерфейсы (USB, Ethernet и так далее)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>
          <w:cantSplit w:val="false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Функция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Вкл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По умолчанию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1-1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Автоматическая подача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Выключено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 </w:t>
            </w:r>
          </w:p>
        </w:tc>
      </w:tr>
      <w:tr>
        <w:trPr>
          <w:cantSplit w:val="false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1-2 – 1-8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Установлено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  <w:t xml:space="preserve">Выкл 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  <w:t>Кнопка сброса</w:t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650875</wp:posOffset>
            </wp:positionH>
            <wp:positionV relativeFrom="paragraph">
              <wp:posOffset>431800</wp:posOffset>
            </wp:positionV>
            <wp:extent cx="1771015" cy="647065"/>
            <wp:effectExtent l="0" t="0" r="0" b="0"/>
            <wp:wrapSquare wrapText="largest"/>
            <wp:docPr id="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pageBreakBefore/>
        <w:jc w:val="both"/>
        <w:rPr>
          <w:lang w:val="ru-RU"/>
        </w:rPr>
      </w:pPr>
      <w:r>
        <w:rPr>
          <w:lang w:val="ru-RU"/>
        </w:rPr>
        <w:t>Коммуникационные параметры и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настройки языка по умолчанию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1. Пожалуйста, обратитесь к таблице 1 для Выбора Скорости передачи.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2. Для интерфейсной платы Ethernet урегулирование TCP/IP, пожалуйста, включите принтер и соединитесь с портом LAN PC. Вход </w:t>
      </w:r>
      <w:hyperlink r:id="rId12">
        <w:r>
          <w:rPr>
            <w:rStyle w:val="Style14"/>
            <w:lang w:val="ru-RU"/>
          </w:rPr>
          <w:t>http://192.168.0.31</w:t>
        </w:r>
      </w:hyperlink>
      <w:r>
        <w:rPr>
          <w:lang w:val="ru-RU"/>
        </w:rPr>
        <w:t xml:space="preserve"> в браузере PC и наберите (IP по умолчанию :192.168.0.31).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3. Нажмите и держите кнопку сброса в интерфейсной плате, снова включите питание, чтобы вернуться к настройке по умолчанию.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4. Язык по умолчанию английский. Пожалуйста, выберите Dip-переключатель 2, чтобы выбрать мультиязыки.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Lohit Marath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Lohit Marathi"/>
      <w:color w:val="auto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ohit Marath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ohit Marathi"/>
    </w:rPr>
  </w:style>
  <w:style w:type="paragraph" w:styleId="Style20">
    <w:name w:val="Содержимое таблицы"/>
    <w:basedOn w:val="Normal"/>
    <w:pPr>
      <w:suppressLineNumbers/>
    </w:pPr>
    <w:rPr/>
  </w:style>
  <w:style w:type="paragraph" w:styleId="Style21">
    <w:name w:val="Заголовок таблицы"/>
    <w:basedOn w:val="Style20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hyperlink" Target="http://192.168.0.31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2882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2015-12-09T00:19:35Z</dcterms:created>
  <dc:language>ru-RU</dc:language>
  <dcterms:modified xsi:type="dcterms:W3CDTF">2015-12-09T13:17:21Z</dcterms:modified>
  <cp:revision>11</cp:revision>
</cp:coreProperties>
</file>